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8280" w14:textId="47E16E72" w:rsidR="00DC015C" w:rsidRPr="00DC015C" w:rsidRDefault="00DC015C" w:rsidP="00DC015C">
      <w:pPr>
        <w:rPr>
          <w:b/>
          <w:bCs/>
        </w:rPr>
      </w:pPr>
      <w:r>
        <w:rPr>
          <w:noProof/>
        </w:rPr>
        <w:drawing>
          <wp:inline distT="0" distB="0" distL="0" distR="0" wp14:anchorId="7E12514F" wp14:editId="1FC636A4">
            <wp:extent cx="1308847" cy="6953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EL LOGO VECTOR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47" cy="70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15C">
        <w:rPr>
          <w:b/>
          <w:bCs/>
        </w:rPr>
        <w:t xml:space="preserve">MODELE DE DELIBERATION RELATIF </w:t>
      </w:r>
      <w:r w:rsidR="003F518C">
        <w:rPr>
          <w:b/>
          <w:bCs/>
        </w:rPr>
        <w:t>A L’ETALEMENT DES CHARGES</w:t>
      </w:r>
    </w:p>
    <w:p w14:paraId="3F32420A" w14:textId="77777777" w:rsidR="00DC015C" w:rsidRDefault="00DC015C" w:rsidP="00DC015C"/>
    <w:p w14:paraId="061C55CC" w14:textId="77777777" w:rsidR="00DC015C" w:rsidRDefault="00DC015C" w:rsidP="00DC015C"/>
    <w:p w14:paraId="517FB126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27"/>
          <w:lang w:eastAsia="fr-FR"/>
        </w:rPr>
        <w:t xml:space="preserve">OBJET :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Etalement de charges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>de dépenses exceptionnelles relatives à la crise sanitaire</w:t>
      </w:r>
    </w:p>
    <w:p w14:paraId="02874E39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</w:p>
    <w:p w14:paraId="5833BBBA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>EXPOSE DES MOTIFS</w:t>
      </w:r>
    </w:p>
    <w:p w14:paraId="7C32A87E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</w:p>
    <w:p w14:paraId="01B5E7A3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>Les dépenses exceptionnelles liées à la crise sanitaire du COVID-19 affectent les budgets et comptes par leurs effets sur les équilibres budgétaires et sur la capacité d’autofinancement, ainsi que sur la comparabilité des exercices d’une année sur l’autre.</w:t>
      </w:r>
    </w:p>
    <w:p w14:paraId="74D8ACF5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</w:p>
    <w:p w14:paraId="159B74CC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Pour répondre au double objectif de préservation de l’équilibre budgétaire et de suivi de ces dépenses, le législateur a adapté le cadre budgétaire et comptable. </w:t>
      </w:r>
    </w:p>
    <w:p w14:paraId="2D72552D" w14:textId="77777777" w:rsidR="003F518C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</w:p>
    <w:p w14:paraId="57405549" w14:textId="10EE4711" w:rsidR="003C3421" w:rsidRPr="00BA449E" w:rsidRDefault="003F518C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La nomenclature budgétaire et comptable M14 prévoit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notamment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la possibilité, par décision de l’assemblée délibérante, d’étaler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certaines charges. Cette procédure est étendue aux charges éligibles relatives au COVID-19, listées dans le document annexe.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La durée d’étalement de ces charges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peut être fixée jusqu’à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5 ans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maximum.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L’opération comptable consiste à transférer le montant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total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>des charges au compte d’investissement 481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5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« charges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liées à la crise sanitaire COVID-19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», par crédit du compte 791 « transfert de charges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d’exploitation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</w:t>
      </w:r>
      <w:proofErr w:type="gramStart"/>
      <w:r w:rsidRPr="00BA449E">
        <w:rPr>
          <w:rFonts w:ascii="Arial" w:eastAsia="Times New Roman" w:hAnsi="Arial" w:cs="Arial"/>
          <w:sz w:val="24"/>
          <w:szCs w:val="33"/>
          <w:lang w:eastAsia="fr-FR"/>
        </w:rPr>
        <w:t>»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>,</w:t>
      </w:r>
      <w:proofErr w:type="gramEnd"/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puis à amortir, chaque année, une part de la charge au compte 6812 « dotation aux amortissements des charges de fonctionnement à répartir » dans la limite </w:t>
      </w:r>
      <w:r w:rsidR="00BA449E">
        <w:rPr>
          <w:rFonts w:ascii="Arial" w:eastAsia="Times New Roman" w:hAnsi="Arial" w:cs="Arial"/>
          <w:sz w:val="24"/>
          <w:szCs w:val="33"/>
          <w:lang w:eastAsia="fr-FR"/>
        </w:rPr>
        <w:t xml:space="preserve">maximale 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de 5 ans. </w:t>
      </w:r>
    </w:p>
    <w:p w14:paraId="66B0FD8A" w14:textId="77777777" w:rsidR="003C3421" w:rsidRPr="00BA449E" w:rsidRDefault="003C3421" w:rsidP="00BA449E">
      <w:pPr>
        <w:spacing w:after="0" w:line="240" w:lineRule="auto"/>
        <w:jc w:val="both"/>
        <w:rPr>
          <w:rFonts w:ascii="Arial" w:eastAsia="Times New Roman" w:hAnsi="Arial" w:cs="Arial"/>
          <w:sz w:val="24"/>
          <w:szCs w:val="33"/>
          <w:lang w:eastAsia="fr-FR"/>
        </w:rPr>
      </w:pPr>
    </w:p>
    <w:p w14:paraId="2B9F3A9A" w14:textId="20290063" w:rsidR="003F518C" w:rsidRPr="00BA449E" w:rsidRDefault="003F518C" w:rsidP="00BA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Dans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c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>e cadre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,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il est proposé à l’assemblée délibérante d’autoriser l’étalement, sur </w:t>
      </w:r>
      <w:r w:rsidR="003C3421" w:rsidRPr="00BA449E">
        <w:rPr>
          <w:rFonts w:ascii="Arial" w:eastAsia="Times New Roman" w:hAnsi="Arial" w:cs="Arial"/>
          <w:i/>
          <w:iCs/>
          <w:sz w:val="24"/>
          <w:szCs w:val="33"/>
          <w:lang w:eastAsia="fr-FR"/>
        </w:rPr>
        <w:t>x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ans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(</w:t>
      </w:r>
      <w:r w:rsidR="003C3421" w:rsidRPr="00BA449E">
        <w:rPr>
          <w:rFonts w:ascii="Arial" w:eastAsia="Times New Roman" w:hAnsi="Arial" w:cs="Arial"/>
          <w:i/>
          <w:iCs/>
          <w:sz w:val="24"/>
          <w:szCs w:val="33"/>
          <w:lang w:eastAsia="fr-FR"/>
        </w:rPr>
        <w:t>à déterminer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)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, des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charges listées dans le document annexe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. </w:t>
      </w:r>
    </w:p>
    <w:p w14:paraId="643DDABE" w14:textId="3BF81733" w:rsidR="003C3421" w:rsidRPr="00BA449E" w:rsidRDefault="003F518C" w:rsidP="00BA449E">
      <w:pPr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Ces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dépenses exceptionnelles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représentent, en effet, une charge financière, en section de fonctionnement, de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…</w:t>
      </w:r>
      <w:proofErr w:type="gramStart"/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…,…</w:t>
      </w:r>
      <w:proofErr w:type="gramEnd"/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0 € </w:t>
      </w:r>
      <w:r w:rsidR="00BA449E">
        <w:rPr>
          <w:rFonts w:ascii="Arial" w:eastAsia="Times New Roman" w:hAnsi="Arial" w:cs="Arial"/>
          <w:sz w:val="24"/>
          <w:szCs w:val="33"/>
          <w:lang w:eastAsia="fr-FR"/>
        </w:rPr>
        <w:t>impactant la capacité d’autofinancement </w:t>
      </w:r>
    </w:p>
    <w:p w14:paraId="239C18E5" w14:textId="77777777" w:rsidR="003C3421" w:rsidRPr="00BA449E" w:rsidRDefault="003C3421" w:rsidP="00BA449E">
      <w:pPr>
        <w:jc w:val="both"/>
        <w:rPr>
          <w:rFonts w:ascii="Arial" w:eastAsia="Times New Roman" w:hAnsi="Arial" w:cs="Arial"/>
          <w:sz w:val="24"/>
          <w:szCs w:val="33"/>
          <w:lang w:eastAsia="fr-FR"/>
        </w:rPr>
      </w:pPr>
    </w:p>
    <w:p w14:paraId="1258CF71" w14:textId="77777777" w:rsidR="003C3421" w:rsidRPr="00BA449E" w:rsidRDefault="003F518C" w:rsidP="00BA449E">
      <w:pPr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>PROPOSITION</w:t>
      </w:r>
    </w:p>
    <w:p w14:paraId="44DD4972" w14:textId="77777777" w:rsidR="003C3421" w:rsidRPr="00BA449E" w:rsidRDefault="003C3421" w:rsidP="00BA449E">
      <w:pPr>
        <w:jc w:val="both"/>
        <w:rPr>
          <w:rFonts w:ascii="Arial" w:eastAsia="Times New Roman" w:hAnsi="Arial" w:cs="Arial"/>
          <w:sz w:val="24"/>
          <w:szCs w:val="33"/>
          <w:lang w:eastAsia="fr-FR"/>
        </w:rPr>
      </w:pPr>
    </w:p>
    <w:p w14:paraId="6F217DDF" w14:textId="77777777" w:rsidR="003C3421" w:rsidRPr="00BA449E" w:rsidRDefault="003F518C" w:rsidP="00BA449E">
      <w:pPr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>Vu l’avis de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la </w:t>
      </w:r>
      <w:r w:rsidR="003C3421" w:rsidRPr="00BA449E">
        <w:rPr>
          <w:rFonts w:ascii="Arial" w:eastAsia="Times New Roman" w:hAnsi="Arial" w:cs="Arial"/>
          <w:i/>
          <w:iCs/>
          <w:sz w:val="24"/>
          <w:szCs w:val="33"/>
          <w:lang w:eastAsia="fr-FR"/>
        </w:rPr>
        <w:t>Commission des Finances</w:t>
      </w:r>
      <w:r w:rsidRPr="00BA449E">
        <w:rPr>
          <w:rFonts w:ascii="Arial" w:eastAsia="Times New Roman" w:hAnsi="Arial" w:cs="Arial"/>
          <w:i/>
          <w:iCs/>
          <w:sz w:val="24"/>
          <w:szCs w:val="33"/>
          <w:lang w:eastAsia="fr-FR"/>
        </w:rPr>
        <w:t xml:space="preserve"> élargie aux membres du Conseil Municipal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(à </w:t>
      </w:r>
      <w:r w:rsidR="003C3421" w:rsidRPr="00BA449E">
        <w:rPr>
          <w:rFonts w:ascii="Arial" w:eastAsia="Times New Roman" w:hAnsi="Arial" w:cs="Arial"/>
          <w:i/>
          <w:iCs/>
          <w:sz w:val="24"/>
          <w:szCs w:val="33"/>
          <w:lang w:eastAsia="fr-FR"/>
        </w:rPr>
        <w:t>adapter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)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, il est proposé à l’assemblée délibérante : </w:t>
      </w:r>
    </w:p>
    <w:p w14:paraId="30B93BA6" w14:textId="1D3E5586" w:rsidR="003C3421" w:rsidRPr="00BA449E" w:rsidRDefault="003F518C" w:rsidP="00BA449E">
      <w:pPr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- d’autoriser sur </w:t>
      </w:r>
      <w:r w:rsidR="003C3421" w:rsidRPr="00BA449E">
        <w:rPr>
          <w:rFonts w:ascii="Arial" w:eastAsia="Times New Roman" w:hAnsi="Arial" w:cs="Arial"/>
          <w:i/>
          <w:iCs/>
          <w:sz w:val="24"/>
          <w:szCs w:val="33"/>
          <w:lang w:eastAsia="fr-FR"/>
        </w:rPr>
        <w:t>x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ans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(</w:t>
      </w:r>
      <w:r w:rsidR="003C3421" w:rsidRPr="00BA449E">
        <w:rPr>
          <w:rFonts w:ascii="Arial" w:eastAsia="Times New Roman" w:hAnsi="Arial" w:cs="Arial"/>
          <w:i/>
          <w:iCs/>
          <w:sz w:val="24"/>
          <w:szCs w:val="33"/>
          <w:lang w:eastAsia="fr-FR"/>
        </w:rPr>
        <w:t>à déterminer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)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l’étalement des charges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liées au COVID-19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des opérations </w:t>
      </w:r>
      <w:r w:rsidR="003C3421" w:rsidRPr="00BA449E">
        <w:rPr>
          <w:rFonts w:ascii="Arial" w:eastAsia="Times New Roman" w:hAnsi="Arial" w:cs="Arial"/>
          <w:sz w:val="24"/>
          <w:szCs w:val="33"/>
          <w:lang w:eastAsia="fr-FR"/>
        </w:rPr>
        <w:t>listées dans l’état détaillé ci-joint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; </w:t>
      </w:r>
    </w:p>
    <w:p w14:paraId="276D6A4C" w14:textId="2C18150D" w:rsidR="00BA449E" w:rsidRPr="00BA449E" w:rsidRDefault="00BA449E" w:rsidP="00BA449E">
      <w:pPr>
        <w:jc w:val="both"/>
        <w:rPr>
          <w:rFonts w:ascii="Arial" w:eastAsia="Times New Roman" w:hAnsi="Arial" w:cs="Arial"/>
          <w:sz w:val="24"/>
          <w:szCs w:val="33"/>
          <w:lang w:eastAsia="fr-FR"/>
        </w:rPr>
      </w:pPr>
      <w:r w:rsidRPr="00BA449E">
        <w:rPr>
          <w:rFonts w:ascii="Arial" w:eastAsia="Times New Roman" w:hAnsi="Arial" w:cs="Arial"/>
          <w:sz w:val="24"/>
          <w:szCs w:val="33"/>
          <w:lang w:eastAsia="fr-FR"/>
        </w:rPr>
        <w:t>L</w:t>
      </w:r>
      <w:r w:rsidR="003F518C" w:rsidRPr="00BA449E">
        <w:rPr>
          <w:rFonts w:ascii="Arial" w:eastAsia="Times New Roman" w:hAnsi="Arial" w:cs="Arial"/>
          <w:sz w:val="24"/>
          <w:szCs w:val="33"/>
          <w:lang w:eastAsia="fr-FR"/>
        </w:rPr>
        <w:t>es crédits nécessaires à la passation de ces opérations d’ordre s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>er</w:t>
      </w:r>
      <w:r w:rsidR="003F518C" w:rsidRPr="00BA449E">
        <w:rPr>
          <w:rFonts w:ascii="Arial" w:eastAsia="Times New Roman" w:hAnsi="Arial" w:cs="Arial"/>
          <w:sz w:val="24"/>
          <w:szCs w:val="33"/>
          <w:lang w:eastAsia="fr-FR"/>
        </w:rPr>
        <w:t>ont prévus au budget primitif 20</w:t>
      </w:r>
      <w:r w:rsidRPr="00BA449E">
        <w:rPr>
          <w:rFonts w:ascii="Arial" w:eastAsia="Times New Roman" w:hAnsi="Arial" w:cs="Arial"/>
          <w:sz w:val="24"/>
          <w:szCs w:val="33"/>
          <w:lang w:eastAsia="fr-FR"/>
        </w:rPr>
        <w:t>20</w:t>
      </w:r>
      <w:r w:rsidR="003F518C" w:rsidRPr="00BA449E">
        <w:rPr>
          <w:rFonts w:ascii="Arial" w:eastAsia="Times New Roman" w:hAnsi="Arial" w:cs="Arial"/>
          <w:sz w:val="24"/>
          <w:szCs w:val="33"/>
          <w:lang w:eastAsia="fr-FR"/>
        </w:rPr>
        <w:t xml:space="preserve"> et seront inscrits aux budgets primitifs des exercices suivants. </w:t>
      </w:r>
    </w:p>
    <w:p w14:paraId="25569DFC" w14:textId="52774562" w:rsidR="00E34677" w:rsidRPr="00E34677" w:rsidRDefault="00E34677" w:rsidP="00BA449E">
      <w:pPr>
        <w:jc w:val="center"/>
        <w:rPr>
          <w:color w:val="FF0000"/>
        </w:rPr>
      </w:pPr>
      <w:r>
        <w:rPr>
          <w:color w:val="FF0000"/>
        </w:rPr>
        <w:t>Les modèles proposés doivent être complétés et adaptés au cas d’espèce.</w:t>
      </w:r>
    </w:p>
    <w:p w14:paraId="611AF0C6" w14:textId="77777777" w:rsidR="00DC015C" w:rsidRDefault="00DC015C" w:rsidP="00DC015C">
      <w:r>
        <w:t xml:space="preserve"> </w:t>
      </w:r>
    </w:p>
    <w:p w14:paraId="6193CC52" w14:textId="77777777" w:rsidR="00E55ED5" w:rsidRDefault="00E55ED5"/>
    <w:sectPr w:rsidR="00E5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C"/>
    <w:rsid w:val="002E47A8"/>
    <w:rsid w:val="00314F0F"/>
    <w:rsid w:val="003C3421"/>
    <w:rsid w:val="003D4E0A"/>
    <w:rsid w:val="003F518C"/>
    <w:rsid w:val="00552FD1"/>
    <w:rsid w:val="0074652B"/>
    <w:rsid w:val="00984573"/>
    <w:rsid w:val="00A500A4"/>
    <w:rsid w:val="00AE5FEB"/>
    <w:rsid w:val="00BA449E"/>
    <w:rsid w:val="00DC015C"/>
    <w:rsid w:val="00E34677"/>
    <w:rsid w:val="00E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F157"/>
  <w15:chartTrackingRefBased/>
  <w15:docId w15:val="{19F4B9C4-E2A4-4220-B65C-DC7F5D07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CFMEL07</dc:creator>
  <cp:keywords/>
  <dc:description/>
  <cp:lastModifiedBy>CFMEL07</cp:lastModifiedBy>
  <cp:revision>2</cp:revision>
  <dcterms:created xsi:type="dcterms:W3CDTF">2020-09-03T09:04:00Z</dcterms:created>
  <dcterms:modified xsi:type="dcterms:W3CDTF">2020-09-03T09:04:00Z</dcterms:modified>
</cp:coreProperties>
</file>